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8618" w:type="dxa"/>
        <w:jc w:val="center"/>
        <w:tblInd w:w="0" w:type="dxa"/>
        <w:tblLayout w:type="fixed"/>
        <w:tblCellMar>
          <w:top w:w="0" w:type="dxa"/>
          <w:left w:w="108" w:type="dxa"/>
          <w:bottom w:w="0" w:type="dxa"/>
          <w:right w:w="108" w:type="dxa"/>
        </w:tblCellMar>
      </w:tblPr>
      <w:tblGrid>
        <w:gridCol w:w="570"/>
        <w:gridCol w:w="165"/>
        <w:gridCol w:w="908"/>
        <w:gridCol w:w="795"/>
        <w:gridCol w:w="225"/>
        <w:gridCol w:w="30"/>
        <w:gridCol w:w="2520"/>
        <w:gridCol w:w="60"/>
        <w:gridCol w:w="1215"/>
        <w:gridCol w:w="1162"/>
        <w:gridCol w:w="968"/>
      </w:tblGrid>
      <w:tr>
        <w:trPr>
          <w:trHeight w:val="227" w:hRule="atLeast"/>
        </w:trPr>
        <w:tc>
          <w:tcPr>
            <w:tcW w:w="2663"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Latn-RS"/>
              </w:rPr>
            </w:pPr>
            <w:r>
              <w:rPr>
                <w:b/>
                <w:lang w:val="sr-Latn-RS"/>
              </w:rPr>
              <w:t>First name and surname</w:t>
            </w:r>
          </w:p>
        </w:tc>
        <w:tc>
          <w:tcPr>
            <w:tcW w:w="5955" w:type="dxa"/>
            <w:gridSpan w:val="6"/>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r>
          </w:p>
        </w:tc>
      </w:tr>
      <w:tr>
        <w:trPr>
          <w:trHeight w:val="227" w:hRule="atLeast"/>
        </w:trPr>
        <w:tc>
          <w:tcPr>
            <w:tcW w:w="2663"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rPr>
            </w:pPr>
            <w:r>
              <w:rPr>
                <w:b/>
              </w:rPr>
              <w:t>Title</w:t>
            </w:r>
          </w:p>
        </w:tc>
        <w:tc>
          <w:tcPr>
            <w:tcW w:w="5955" w:type="dxa"/>
            <w:gridSpan w:val="6"/>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r>
          </w:p>
        </w:tc>
      </w:tr>
      <w:tr>
        <w:trPr>
          <w:trHeight w:val="227" w:hRule="atLeast"/>
        </w:trPr>
        <w:tc>
          <w:tcPr>
            <w:tcW w:w="2663"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en-US"/>
              </w:rPr>
            </w:pPr>
            <w:r>
              <w:rPr>
                <w:b/>
                <w:lang w:val="en-US"/>
              </w:rPr>
              <w:t>Specific scientific field</w:t>
            </w:r>
          </w:p>
        </w:tc>
        <w:tc>
          <w:tcPr>
            <w:tcW w:w="5955" w:type="dxa"/>
            <w:gridSpan w:val="6"/>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r>
          </w:p>
        </w:tc>
      </w:tr>
      <w:tr>
        <w:trPr>
          <w:trHeight w:val="227" w:hRule="atLeast"/>
        </w:trPr>
        <w:tc>
          <w:tcPr>
            <w:tcW w:w="164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b/>
                <w:b/>
                <w:lang w:val="sr-Latn-RS"/>
              </w:rPr>
            </w:pPr>
            <w:r>
              <w:rPr>
                <w:b/>
                <w:lang w:val="sr-Latn-RS"/>
              </w:rPr>
              <w:t xml:space="preserve">Academic Career </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lang w:val="sr-Latn-RS"/>
              </w:rPr>
              <w:t>Year</w:t>
            </w:r>
            <w:r>
              <w:rPr>
                <w:lang w:val="sr-CS"/>
              </w:rPr>
              <w:t xml:space="preserve"> </w:t>
            </w:r>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lang w:val="sr-Latn-RS"/>
              </w:rPr>
              <w:t>Institution</w:t>
            </w:r>
            <w:r>
              <w:rPr>
                <w:lang w:val="sr-CS"/>
              </w:rPr>
              <w:t xml:space="preserve"> </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pPr>
            <w:r>
              <w:rPr>
                <w:lang w:val="sr-Latn-RS"/>
              </w:rPr>
              <w:t>Scientific field</w:t>
            </w:r>
            <w:r>
              <w:rPr>
                <w:lang w:val="sr-CS"/>
              </w:rPr>
              <w:t xml:space="preserve"> </w:t>
            </w:r>
          </w:p>
        </w:tc>
        <w:tc>
          <w:tcPr>
            <w:tcW w:w="2130"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lang w:val="en-US"/>
              </w:rPr>
            </w:pPr>
            <w:r>
              <w:rPr>
                <w:lang w:val="en-US"/>
              </w:rPr>
              <w:t>Specific scientific field</w:t>
            </w:r>
          </w:p>
        </w:tc>
      </w:tr>
      <w:tr>
        <w:trPr>
          <w:trHeight w:val="227" w:hRule="atLeast"/>
        </w:trPr>
        <w:tc>
          <w:tcPr>
            <w:tcW w:w="1643" w:type="dxa"/>
            <w:gridSpan w:val="3"/>
            <w:tcBorders>
              <w:top w:val="single" w:sz="4" w:space="0" w:color="000000"/>
              <w:left w:val="single" w:sz="4" w:space="0" w:color="000000"/>
              <w:bottom w:val="single" w:sz="4" w:space="0" w:color="000000"/>
              <w:right w:val="single" w:sz="4" w:space="0" w:color="000000"/>
            </w:tcBorders>
          </w:tcPr>
          <w:p>
            <w:pPr>
              <w:pStyle w:val="Normal"/>
              <w:rPr>
                <w:sz w:val="18"/>
                <w:szCs w:val="18"/>
                <w:lang w:val="en-US"/>
              </w:rPr>
            </w:pPr>
            <w:r>
              <w:rPr>
                <w:sz w:val="18"/>
                <w:szCs w:val="18"/>
                <w:lang w:val="en-US"/>
              </w:rPr>
              <w:t>Professorate</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20"/>
                <w:szCs w:val="20"/>
                <w:lang w:val="sr-CS"/>
              </w:rPr>
            </w:pPr>
            <w:r>
              <w:rPr>
                <w:sz w:val="20"/>
                <w:szCs w:val="20"/>
                <w:lang w:val="sr-CS"/>
              </w:rPr>
              <w:t>2008</w:t>
            </w:r>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lang w:val="sr-CS"/>
              </w:rPr>
            </w:pPr>
            <w:r>
              <w:rPr>
                <w:lang w:val="sr-CS"/>
              </w:rPr>
              <w:t>Faculty of Medicine, University of Belgrade (FMUB)</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Medical Sciences</w:t>
            </w:r>
          </w:p>
        </w:tc>
        <w:tc>
          <w:tcPr>
            <w:tcW w:w="2130"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lang w:val="sr-CS"/>
              </w:rPr>
              <w:t>Pharmacology, Clinical Pharmacology and Toxicology</w:t>
            </w:r>
          </w:p>
        </w:tc>
      </w:tr>
      <w:tr>
        <w:trPr>
          <w:trHeight w:val="227" w:hRule="atLeast"/>
        </w:trPr>
        <w:tc>
          <w:tcPr>
            <w:tcW w:w="1643" w:type="dxa"/>
            <w:gridSpan w:val="3"/>
            <w:tcBorders>
              <w:top w:val="single" w:sz="4" w:space="0" w:color="000000"/>
              <w:left w:val="single" w:sz="4" w:space="0" w:color="000000"/>
              <w:bottom w:val="single" w:sz="4" w:space="0" w:color="000000"/>
              <w:right w:val="single" w:sz="4" w:space="0" w:color="000000"/>
            </w:tcBorders>
          </w:tcPr>
          <w:p>
            <w:pPr>
              <w:pStyle w:val="Normal"/>
              <w:rPr>
                <w:sz w:val="18"/>
                <w:szCs w:val="18"/>
                <w:lang w:val="en-US"/>
              </w:rPr>
            </w:pPr>
            <w:r>
              <w:rPr>
                <w:sz w:val="18"/>
                <w:szCs w:val="18"/>
                <w:lang w:val="en-US"/>
              </w:rPr>
              <w:t>PhD</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20"/>
                <w:szCs w:val="20"/>
                <w:lang w:val="sr-CS"/>
              </w:rPr>
            </w:pPr>
            <w:r>
              <w:rPr>
                <w:sz w:val="20"/>
                <w:szCs w:val="20"/>
                <w:lang w:val="sr-CS"/>
              </w:rPr>
              <w:t>1996</w:t>
            </w:r>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lang w:val="sr-CS"/>
              </w:rPr>
            </w:pPr>
            <w:r>
              <w:rPr>
                <w:lang w:val="sr-CS"/>
              </w:rPr>
              <w:t>FMUB</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Medical Sciences</w:t>
            </w:r>
          </w:p>
        </w:tc>
        <w:tc>
          <w:tcPr>
            <w:tcW w:w="213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lang w:val="sr-CS"/>
              </w:rPr>
            </w:pPr>
            <w:r>
              <w:rPr>
                <w:lang w:val="sr-CS"/>
              </w:rPr>
              <w:t>Medical Sciences</w:t>
            </w:r>
          </w:p>
        </w:tc>
      </w:tr>
      <w:tr>
        <w:trPr>
          <w:trHeight w:val="227" w:hRule="atLeast"/>
        </w:trPr>
        <w:tc>
          <w:tcPr>
            <w:tcW w:w="1643" w:type="dxa"/>
            <w:gridSpan w:val="3"/>
            <w:tcBorders>
              <w:top w:val="single" w:sz="4" w:space="0" w:color="000000"/>
              <w:left w:val="single" w:sz="4" w:space="0" w:color="000000"/>
              <w:bottom w:val="single" w:sz="4" w:space="0" w:color="000000"/>
              <w:right w:val="single" w:sz="4" w:space="0" w:color="000000"/>
            </w:tcBorders>
          </w:tcPr>
          <w:p>
            <w:pPr>
              <w:pStyle w:val="Normal"/>
              <w:rPr>
                <w:sz w:val="18"/>
                <w:szCs w:val="18"/>
                <w:lang w:val="en-US"/>
              </w:rPr>
            </w:pPr>
            <w:r>
              <w:rPr>
                <w:sz w:val="18"/>
                <w:szCs w:val="18"/>
                <w:lang w:val="en-US"/>
              </w:rPr>
              <w:t>Specialization</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rFonts w:eastAsia="Times New Roman" w:cs="Times New Roman"/>
                <w:color w:val="auto"/>
                <w:sz w:val="20"/>
                <w:szCs w:val="20"/>
                <w:lang w:val="en-US" w:eastAsia="zxx" w:bidi="ar-SA"/>
              </w:rPr>
            </w:pPr>
            <w:r>
              <w:rPr>
                <w:rFonts w:eastAsia="Times New Roman" w:cs="Times New Roman"/>
                <w:color w:val="auto"/>
                <w:sz w:val="20"/>
                <w:szCs w:val="20"/>
                <w:lang w:val="en-US" w:eastAsia="zxx" w:bidi="ar-SA"/>
              </w:rPr>
              <w:t>1996</w:t>
            </w:r>
          </w:p>
          <w:p>
            <w:pPr>
              <w:pStyle w:val="Normal"/>
              <w:widowControl w:val="false"/>
              <w:snapToGrid w:val="false"/>
              <w:rPr>
                <w:rFonts w:eastAsia="Times New Roman" w:cs="Times New Roman"/>
                <w:color w:val="auto"/>
                <w:sz w:val="20"/>
                <w:szCs w:val="20"/>
                <w:lang w:val="en-US" w:eastAsia="zxx" w:bidi="ar-SA"/>
              </w:rPr>
            </w:pPr>
            <w:r>
              <w:rPr>
                <w:rFonts w:eastAsia="Times New Roman" w:cs="Times New Roman"/>
                <w:color w:val="auto"/>
                <w:sz w:val="20"/>
                <w:szCs w:val="20"/>
                <w:lang w:val="en-US" w:eastAsia="zxx" w:bidi="ar-SA"/>
              </w:rPr>
            </w:r>
          </w:p>
          <w:p>
            <w:pPr>
              <w:pStyle w:val="Normal"/>
              <w:widowControl w:val="false"/>
              <w:snapToGrid w:val="false"/>
              <w:rPr>
                <w:rFonts w:eastAsia="Times New Roman" w:cs="Times New Roman"/>
                <w:color w:val="auto"/>
                <w:sz w:val="20"/>
                <w:szCs w:val="20"/>
                <w:lang w:val="en-US" w:eastAsia="zxx" w:bidi="ar-SA"/>
              </w:rPr>
            </w:pPr>
            <w:r>
              <w:rPr>
                <w:rFonts w:eastAsia="Times New Roman" w:cs="Times New Roman"/>
                <w:color w:val="auto"/>
                <w:sz w:val="20"/>
                <w:szCs w:val="20"/>
                <w:lang w:val="en-US" w:eastAsia="zxx" w:bidi="ar-SA"/>
              </w:rPr>
              <w:t>2008</w:t>
            </w:r>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sz w:val="18"/>
                <w:szCs w:val="18"/>
                <w:lang w:val="sr-CS"/>
              </w:rPr>
            </w:pPr>
            <w:r>
              <w:rPr>
                <w:sz w:val="18"/>
                <w:szCs w:val="18"/>
                <w:lang w:val="sr-CS"/>
              </w:rPr>
              <w:t>FMUB</w:t>
            </w:r>
          </w:p>
          <w:p>
            <w:pPr>
              <w:pStyle w:val="Normal"/>
              <w:snapToGrid w:val="false"/>
              <w:rPr>
                <w:sz w:val="18"/>
                <w:szCs w:val="18"/>
                <w:lang w:val="sr-CS"/>
              </w:rPr>
            </w:pPr>
            <w:r>
              <w:rPr>
                <w:sz w:val="18"/>
                <w:szCs w:val="18"/>
                <w:lang w:val="sr-CS"/>
              </w:rPr>
            </w:r>
          </w:p>
          <w:p>
            <w:pPr>
              <w:pStyle w:val="Normal"/>
              <w:snapToGrid w:val="false"/>
              <w:rPr>
                <w:sz w:val="18"/>
                <w:szCs w:val="18"/>
                <w:lang w:val="sr-CS"/>
              </w:rPr>
            </w:pPr>
            <w:r>
              <w:rPr>
                <w:sz w:val="18"/>
                <w:szCs w:val="18"/>
                <w:lang w:val="sr-CS"/>
              </w:rPr>
              <w:t>FMUB</w:t>
            </w:r>
            <w:r>
              <w:rPr>
                <w:sz w:val="18"/>
                <w:szCs w:val="18"/>
                <w:lang w:val="sr-CS"/>
              </w:rPr>
              <w:t xml:space="preserve"> </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Medical Sciences</w:t>
            </w:r>
          </w:p>
        </w:tc>
        <w:tc>
          <w:tcPr>
            <w:tcW w:w="213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20"/>
                <w:szCs w:val="20"/>
                <w:lang w:val="sr-CS"/>
              </w:rPr>
            </w:pPr>
            <w:r>
              <w:rPr>
                <w:sz w:val="20"/>
                <w:szCs w:val="20"/>
                <w:lang w:val="sr-CS"/>
              </w:rPr>
              <w:t>Clinical pharmacology (specialization)</w:t>
            </w:r>
          </w:p>
          <w:p>
            <w:pPr>
              <w:pStyle w:val="Normal"/>
              <w:snapToGrid w:val="false"/>
              <w:rPr>
                <w:sz w:val="20"/>
                <w:szCs w:val="20"/>
                <w:lang w:val="sr-CS"/>
              </w:rPr>
            </w:pPr>
            <w:r>
              <w:rPr>
                <w:sz w:val="20"/>
                <w:szCs w:val="20"/>
                <w:lang w:val="sr-CS"/>
              </w:rPr>
            </w:r>
          </w:p>
          <w:p>
            <w:pPr>
              <w:pStyle w:val="Normal"/>
              <w:snapToGrid w:val="false"/>
              <w:rPr>
                <w:sz w:val="20"/>
                <w:szCs w:val="20"/>
                <w:lang w:val="sr-CS"/>
              </w:rPr>
            </w:pPr>
            <w:r>
              <w:rPr>
                <w:sz w:val="20"/>
                <w:szCs w:val="20"/>
                <w:lang w:val="sr-CS"/>
              </w:rPr>
              <w:t>Clinical pharmacology – pharmacotherapy (sub-specialization)</w:t>
            </w:r>
          </w:p>
        </w:tc>
      </w:tr>
      <w:tr>
        <w:trPr>
          <w:trHeight w:val="227" w:hRule="atLeast"/>
        </w:trPr>
        <w:tc>
          <w:tcPr>
            <w:tcW w:w="1643" w:type="dxa"/>
            <w:gridSpan w:val="3"/>
            <w:tcBorders>
              <w:top w:val="single" w:sz="4" w:space="0" w:color="000000"/>
              <w:left w:val="single" w:sz="4" w:space="0" w:color="000000"/>
              <w:bottom w:val="single" w:sz="4" w:space="0" w:color="000000"/>
              <w:right w:val="single" w:sz="4" w:space="0" w:color="000000"/>
            </w:tcBorders>
          </w:tcPr>
          <w:p>
            <w:pPr>
              <w:pStyle w:val="Normal"/>
              <w:rPr>
                <w:sz w:val="18"/>
                <w:szCs w:val="18"/>
                <w:lang w:val="en-US"/>
              </w:rPr>
            </w:pPr>
            <w:r>
              <w:rPr>
                <w:sz w:val="18"/>
                <w:szCs w:val="18"/>
                <w:lang w:val="en-US"/>
              </w:rPr>
              <w:t>Master’s degree</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rFonts w:eastAsia="Times New Roman" w:cs="Times New Roman"/>
                <w:color w:val="auto"/>
                <w:sz w:val="20"/>
                <w:szCs w:val="20"/>
                <w:lang w:val="en-US" w:eastAsia="zxx" w:bidi="ar-SA"/>
              </w:rPr>
            </w:pPr>
            <w:r>
              <w:rPr>
                <w:rFonts w:eastAsia="Times New Roman" w:cs="Times New Roman"/>
                <w:color w:val="auto"/>
                <w:sz w:val="20"/>
                <w:szCs w:val="20"/>
                <w:lang w:val="en-US" w:eastAsia="zxx" w:bidi="ar-SA"/>
              </w:rPr>
              <w:t>1993</w:t>
            </w:r>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sz w:val="18"/>
                <w:szCs w:val="18"/>
                <w:lang w:val="sr-CS"/>
              </w:rPr>
            </w:pPr>
            <w:r>
              <w:rPr>
                <w:sz w:val="18"/>
                <w:szCs w:val="18"/>
                <w:lang w:val="sr-CS"/>
              </w:rPr>
              <w:t>FMUB</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Medical Sciences</w:t>
            </w:r>
          </w:p>
        </w:tc>
        <w:tc>
          <w:tcPr>
            <w:tcW w:w="213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20"/>
                <w:szCs w:val="20"/>
                <w:lang w:val="sr-CS"/>
              </w:rPr>
            </w:pPr>
            <w:r>
              <w:rPr>
                <w:sz w:val="20"/>
                <w:szCs w:val="20"/>
                <w:lang w:val="sr-CS"/>
              </w:rPr>
              <w:t>Experimental pharmacology</w:t>
            </w:r>
          </w:p>
        </w:tc>
      </w:tr>
      <w:tr>
        <w:trPr>
          <w:trHeight w:val="227" w:hRule="atLeast"/>
        </w:trPr>
        <w:tc>
          <w:tcPr>
            <w:tcW w:w="1643" w:type="dxa"/>
            <w:gridSpan w:val="3"/>
            <w:tcBorders>
              <w:top w:val="single" w:sz="4" w:space="0" w:color="000000"/>
              <w:left w:val="single" w:sz="4" w:space="0" w:color="000000"/>
              <w:bottom w:val="single" w:sz="4" w:space="0" w:color="000000"/>
              <w:right w:val="single" w:sz="4" w:space="0" w:color="000000"/>
            </w:tcBorders>
          </w:tcPr>
          <w:p>
            <w:pPr>
              <w:pStyle w:val="Normal"/>
              <w:rPr>
                <w:sz w:val="18"/>
                <w:szCs w:val="18"/>
                <w:lang w:val="en-US"/>
              </w:rPr>
            </w:pPr>
            <w:r>
              <w:rPr>
                <w:sz w:val="18"/>
                <w:szCs w:val="18"/>
                <w:lang w:val="en-US"/>
              </w:rPr>
              <w:t>Diploma</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20"/>
                <w:szCs w:val="20"/>
                <w:lang w:val="sr-CS"/>
              </w:rPr>
            </w:pPr>
            <w:r>
              <w:rPr>
                <w:sz w:val="20"/>
                <w:szCs w:val="20"/>
                <w:lang w:val="sr-CS"/>
              </w:rPr>
              <w:t>1989</w:t>
            </w:r>
          </w:p>
        </w:tc>
        <w:tc>
          <w:tcPr>
            <w:tcW w:w="255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sz w:val="18"/>
                <w:szCs w:val="18"/>
                <w:lang w:val="sr-CS"/>
              </w:rPr>
            </w:pPr>
            <w:r>
              <w:rPr>
                <w:sz w:val="18"/>
                <w:szCs w:val="18"/>
                <w:lang w:val="sr-CS"/>
              </w:rPr>
              <w:t>FMUB</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Medical Sciences</w:t>
            </w:r>
          </w:p>
        </w:tc>
        <w:tc>
          <w:tcPr>
            <w:tcW w:w="2130" w:type="dxa"/>
            <w:gridSpan w:val="2"/>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20"/>
                <w:szCs w:val="20"/>
                <w:lang w:val="sr-CS"/>
              </w:rPr>
            </w:pPr>
            <w:r>
              <w:rPr>
                <w:sz w:val="20"/>
                <w:szCs w:val="20"/>
                <w:lang w:val="sr-CS"/>
              </w:rPr>
              <w:t>Medical Doctor (</w:t>
            </w:r>
            <w:r>
              <w:rPr>
                <w:sz w:val="20"/>
                <w:szCs w:val="20"/>
                <w:lang w:val="sr-CS"/>
              </w:rPr>
              <w:t>MD</w:t>
            </w:r>
            <w:r>
              <w:rPr>
                <w:sz w:val="20"/>
                <w:szCs w:val="20"/>
                <w:lang w:val="sr-CS"/>
              </w:rPr>
              <w:t>)</w:t>
            </w:r>
          </w:p>
        </w:tc>
      </w:tr>
      <w:tr>
        <w:trPr>
          <w:trHeight w:val="227" w:hRule="atLeast"/>
        </w:trPr>
        <w:tc>
          <w:tcPr>
            <w:tcW w:w="8618" w:type="dxa"/>
            <w:gridSpan w:val="11"/>
            <w:tcBorders>
              <w:top w:val="single" w:sz="4" w:space="0" w:color="000000"/>
              <w:left w:val="single" w:sz="4" w:space="0" w:color="000000"/>
              <w:bottom w:val="single" w:sz="4" w:space="0" w:color="000000"/>
              <w:right w:val="single" w:sz="4" w:space="0" w:color="000000"/>
            </w:tcBorders>
            <w:vAlign w:val="center"/>
          </w:tcPr>
          <w:p>
            <w:pPr>
              <w:pStyle w:val="Normal"/>
              <w:rPr/>
            </w:pPr>
            <w:r>
              <w:rPr>
                <w:b/>
                <w:lang w:val="en-US"/>
              </w:rPr>
              <w:t>Teacher’s list of courses at PhD studies</w:t>
            </w:r>
            <w:r>
              <w:rPr>
                <w:b/>
                <w:lang w:val="sr-RS"/>
              </w:rPr>
              <w:t xml:space="preserve"> </w:t>
            </w:r>
          </w:p>
        </w:tc>
      </w:tr>
      <w:tr>
        <w:trPr>
          <w:trHeight w:val="227" w:hRule="atLeast"/>
        </w:trPr>
        <w:tc>
          <w:tcPr>
            <w:tcW w:w="735" w:type="dxa"/>
            <w:gridSpan w:val="2"/>
            <w:tcBorders>
              <w:top w:val="single" w:sz="4" w:space="0" w:color="000000"/>
              <w:left w:val="single" w:sz="4" w:space="0" w:color="000000"/>
              <w:bottom w:val="single" w:sz="4" w:space="0" w:color="000000"/>
              <w:right w:val="single" w:sz="4" w:space="0" w:color="000000"/>
            </w:tcBorders>
            <w:vAlign w:val="center"/>
          </w:tcPr>
          <w:p>
            <w:pPr>
              <w:pStyle w:val="Normal"/>
              <w:rPr/>
            </w:pPr>
            <w:r>
              <w:rPr>
                <w:b/>
                <w:lang w:val="en-US"/>
              </w:rPr>
              <w:t>No</w:t>
            </w:r>
            <w:r>
              <w:rPr>
                <w:b/>
                <w:lang w:val="sr-CS"/>
              </w:rPr>
              <w:t>.</w:t>
            </w:r>
          </w:p>
        </w:tc>
        <w:tc>
          <w:tcPr>
            <w:tcW w:w="1958"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pPr>
            <w:r>
              <w:rPr>
                <w:b/>
                <w:lang w:val="en-US"/>
              </w:rPr>
              <w:t>Ref.</w:t>
            </w:r>
            <w:r>
              <w:rPr>
                <w:b/>
                <w:lang w:val="sr-RS"/>
              </w:rPr>
              <w:t xml:space="preserve"> </w:t>
            </w:r>
          </w:p>
        </w:tc>
        <w:tc>
          <w:tcPr>
            <w:tcW w:w="5925"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b/>
                <w:b/>
                <w:iCs/>
                <w:lang w:val="en-US"/>
              </w:rPr>
            </w:pPr>
            <w:r>
              <w:rPr>
                <w:b/>
                <w:iCs/>
                <w:lang w:val="en-US"/>
              </w:rPr>
              <w:t>Course Title</w:t>
            </w:r>
          </w:p>
        </w:tc>
      </w:tr>
      <w:tr>
        <w:trPr>
          <w:trHeight w:val="227" w:hRule="atLeast"/>
        </w:trPr>
        <w:tc>
          <w:tcPr>
            <w:tcW w:w="73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1</w:t>
            </w:r>
          </w:p>
        </w:tc>
        <w:tc>
          <w:tcPr>
            <w:tcW w:w="1958"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Gen_m01</w:t>
            </w:r>
          </w:p>
        </w:tc>
        <w:tc>
          <w:tcPr>
            <w:tcW w:w="5925" w:type="dxa"/>
            <w:gridSpan w:val="5"/>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Scientific Research Methodology (FMUB)</w:t>
            </w:r>
          </w:p>
        </w:tc>
      </w:tr>
      <w:tr>
        <w:trPr>
          <w:trHeight w:val="227" w:hRule="atLeast"/>
        </w:trPr>
        <w:tc>
          <w:tcPr>
            <w:tcW w:w="73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2</w:t>
            </w:r>
          </w:p>
        </w:tc>
        <w:tc>
          <w:tcPr>
            <w:tcW w:w="1958"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Gen_m03</w:t>
            </w:r>
          </w:p>
        </w:tc>
        <w:tc>
          <w:tcPr>
            <w:tcW w:w="5925" w:type="dxa"/>
            <w:gridSpan w:val="5"/>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Research Ethics (FMUB)</w:t>
            </w:r>
          </w:p>
        </w:tc>
      </w:tr>
      <w:tr>
        <w:trPr>
          <w:trHeight w:val="227" w:hRule="atLeast"/>
        </w:trPr>
        <w:tc>
          <w:tcPr>
            <w:tcW w:w="735" w:type="dxa"/>
            <w:gridSpan w:val="2"/>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3</w:t>
            </w:r>
          </w:p>
        </w:tc>
        <w:tc>
          <w:tcPr>
            <w:tcW w:w="1958" w:type="dxa"/>
            <w:gridSpan w:val="4"/>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Kard_m01</w:t>
            </w:r>
          </w:p>
        </w:tc>
        <w:tc>
          <w:tcPr>
            <w:tcW w:w="5925" w:type="dxa"/>
            <w:gridSpan w:val="5"/>
            <w:tcBorders>
              <w:left w:val="single" w:sz="4" w:space="0" w:color="000000"/>
              <w:bottom w:val="single" w:sz="4" w:space="0" w:color="000000"/>
              <w:right w:val="single" w:sz="4" w:space="0" w:color="000000"/>
            </w:tcBorders>
            <w:vAlign w:val="center"/>
          </w:tcPr>
          <w:p>
            <w:pPr>
              <w:pStyle w:val="Normal"/>
              <w:snapToGrid w:val="false"/>
              <w:rPr>
                <w:lang w:val="sr-CS"/>
              </w:rPr>
            </w:pPr>
            <w:r>
              <w:rPr>
                <w:lang w:val="sr-CS"/>
              </w:rPr>
              <w:t>Contemporary Topics in Cardiovascular Research</w:t>
            </w:r>
            <w:r>
              <w:rPr>
                <w:lang w:val="sr-CS"/>
              </w:rPr>
              <w:t xml:space="preserve"> (Cardiology) (FMUB)</w:t>
            </w:r>
          </w:p>
        </w:tc>
      </w:tr>
      <w:tr>
        <w:trPr>
          <w:trHeight w:val="227" w:hRule="atLeast"/>
        </w:trPr>
        <w:tc>
          <w:tcPr>
            <w:tcW w:w="735" w:type="dxa"/>
            <w:gridSpan w:val="2"/>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3</w:t>
            </w:r>
          </w:p>
        </w:tc>
        <w:tc>
          <w:tcPr>
            <w:tcW w:w="1958" w:type="dxa"/>
            <w:gridSpan w:val="4"/>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Medfarm_m01</w:t>
            </w:r>
          </w:p>
        </w:tc>
        <w:tc>
          <w:tcPr>
            <w:tcW w:w="5925" w:type="dxa"/>
            <w:gridSpan w:val="5"/>
            <w:tcBorders>
              <w:left w:val="single" w:sz="4" w:space="0" w:color="000000"/>
              <w:bottom w:val="single" w:sz="4" w:space="0" w:color="000000"/>
              <w:right w:val="single" w:sz="4" w:space="0" w:color="000000"/>
            </w:tcBorders>
            <w:vAlign w:val="center"/>
          </w:tcPr>
          <w:p>
            <w:pPr>
              <w:pStyle w:val="Normal"/>
              <w:snapToGrid w:val="false"/>
              <w:rPr>
                <w:lang w:val="sr-CS"/>
              </w:rPr>
            </w:pPr>
            <w:r>
              <w:rPr>
                <w:lang w:val="sr-CS"/>
              </w:rPr>
              <w:t>Pharmacodynamics (Medical Pharmacology) (FMUB)</w:t>
            </w:r>
          </w:p>
        </w:tc>
      </w:tr>
      <w:tr>
        <w:trPr>
          <w:trHeight w:val="227" w:hRule="atLeast"/>
        </w:trPr>
        <w:tc>
          <w:tcPr>
            <w:tcW w:w="735" w:type="dxa"/>
            <w:gridSpan w:val="2"/>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4</w:t>
            </w:r>
          </w:p>
        </w:tc>
        <w:tc>
          <w:tcPr>
            <w:tcW w:w="1958" w:type="dxa"/>
            <w:gridSpan w:val="4"/>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Medfarm_m02</w:t>
            </w:r>
          </w:p>
        </w:tc>
        <w:tc>
          <w:tcPr>
            <w:tcW w:w="5925" w:type="dxa"/>
            <w:gridSpan w:val="5"/>
            <w:tcBorders>
              <w:left w:val="single" w:sz="4" w:space="0" w:color="000000"/>
              <w:bottom w:val="single" w:sz="4" w:space="0" w:color="000000"/>
              <w:right w:val="single" w:sz="4" w:space="0" w:color="000000"/>
            </w:tcBorders>
            <w:vAlign w:val="center"/>
          </w:tcPr>
          <w:p>
            <w:pPr>
              <w:pStyle w:val="Normal"/>
              <w:snapToGrid w:val="false"/>
              <w:rPr>
                <w:lang w:val="sr-CS"/>
              </w:rPr>
            </w:pPr>
            <w:r>
              <w:rPr>
                <w:lang w:val="sr-CS"/>
              </w:rPr>
              <w:t>Pharmacokinetics (Medical Pharmacology) (FMUB)</w:t>
            </w:r>
          </w:p>
        </w:tc>
      </w:tr>
      <w:tr>
        <w:trPr>
          <w:trHeight w:val="227" w:hRule="atLeast"/>
        </w:trPr>
        <w:tc>
          <w:tcPr>
            <w:tcW w:w="735" w:type="dxa"/>
            <w:gridSpan w:val="2"/>
            <w:tcBorders>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5</w:t>
            </w:r>
          </w:p>
        </w:tc>
        <w:tc>
          <w:tcPr>
            <w:tcW w:w="1958" w:type="dxa"/>
            <w:gridSpan w:val="4"/>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t>Medfarm_m03</w:t>
            </w:r>
          </w:p>
        </w:tc>
        <w:tc>
          <w:tcPr>
            <w:tcW w:w="5925" w:type="dxa"/>
            <w:gridSpan w:val="5"/>
            <w:tcBorders>
              <w:left w:val="single" w:sz="4" w:space="0" w:color="000000"/>
              <w:bottom w:val="single" w:sz="4" w:space="0" w:color="000000"/>
              <w:right w:val="single" w:sz="4" w:space="0" w:color="000000"/>
            </w:tcBorders>
            <w:vAlign w:val="center"/>
          </w:tcPr>
          <w:p>
            <w:pPr>
              <w:pStyle w:val="Normal"/>
              <w:snapToGrid w:val="false"/>
              <w:rPr>
                <w:lang w:val="sr-CS"/>
              </w:rPr>
            </w:pPr>
            <w:r>
              <w:rPr>
                <w:lang w:val="sr-CS"/>
              </w:rPr>
              <w:t>Special Clinical Pharmacology (Medical Pharmacology) (FMUB)</w:t>
            </w:r>
          </w:p>
        </w:tc>
      </w:tr>
      <w:tr>
        <w:trPr>
          <w:trHeight w:val="227" w:hRule="atLeast"/>
        </w:trPr>
        <w:tc>
          <w:tcPr>
            <w:tcW w:w="735" w:type="dxa"/>
            <w:gridSpan w:val="2"/>
            <w:tcBorders>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6</w:t>
            </w:r>
          </w:p>
        </w:tc>
        <w:tc>
          <w:tcPr>
            <w:tcW w:w="1958" w:type="dxa"/>
            <w:gridSpan w:val="4"/>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r>
          </w:p>
        </w:tc>
        <w:tc>
          <w:tcPr>
            <w:tcW w:w="5925" w:type="dxa"/>
            <w:gridSpan w:val="5"/>
            <w:tcBorders>
              <w:left w:val="single" w:sz="4" w:space="0" w:color="000000"/>
              <w:bottom w:val="single" w:sz="4" w:space="0" w:color="000000"/>
              <w:right w:val="single" w:sz="4" w:space="0" w:color="000000"/>
            </w:tcBorders>
            <w:vAlign w:val="center"/>
          </w:tcPr>
          <w:p>
            <w:pPr>
              <w:pStyle w:val="Normal"/>
              <w:snapToGrid w:val="false"/>
              <w:rPr>
                <w:lang w:val="sr-CS"/>
              </w:rPr>
            </w:pPr>
            <w:r>
              <w:rPr>
                <w:lang w:val="sr-CS"/>
              </w:rPr>
              <w:t>Pharmacological Modulation of Homeostasis Imbalance</w:t>
            </w:r>
          </w:p>
          <w:p>
            <w:pPr>
              <w:pStyle w:val="Normal"/>
              <w:snapToGrid w:val="false"/>
              <w:rPr>
                <w:lang w:val="sr-CS"/>
              </w:rPr>
            </w:pPr>
            <w:r>
              <w:rPr>
                <w:lang w:val="sr-CS"/>
              </w:rPr>
              <w:t>(Physiological Sciences)</w:t>
            </w:r>
            <w:r>
              <w:rPr>
                <w:lang w:val="sr-CS"/>
              </w:rPr>
              <w:t xml:space="preserve"> (FMUB)</w:t>
            </w:r>
          </w:p>
        </w:tc>
      </w:tr>
      <w:tr>
        <w:trPr>
          <w:trHeight w:val="227" w:hRule="atLeast"/>
        </w:trPr>
        <w:tc>
          <w:tcPr>
            <w:tcW w:w="73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7</w:t>
            </w:r>
          </w:p>
        </w:tc>
        <w:tc>
          <w:tcPr>
            <w:tcW w:w="1958"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r>
          </w:p>
        </w:tc>
        <w:tc>
          <w:tcPr>
            <w:tcW w:w="5925" w:type="dxa"/>
            <w:gridSpan w:val="5"/>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Principles of Animal Testing (in vivo)</w:t>
            </w:r>
            <w:r>
              <w:rPr>
                <w:lang w:val="sr-CS"/>
              </w:rPr>
              <w:t xml:space="preserve"> (Faculty of Pharmacy, University of Belgrade)</w:t>
            </w:r>
          </w:p>
        </w:tc>
      </w:tr>
      <w:tr>
        <w:trPr>
          <w:trHeight w:val="227" w:hRule="atLeast"/>
        </w:trPr>
        <w:tc>
          <w:tcPr>
            <w:tcW w:w="73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8</w:t>
            </w:r>
          </w:p>
        </w:tc>
        <w:tc>
          <w:tcPr>
            <w:tcW w:w="1958"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r>
          </w:p>
        </w:tc>
        <w:tc>
          <w:tcPr>
            <w:tcW w:w="5925" w:type="dxa"/>
            <w:gridSpan w:val="5"/>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Laboratory Animal Science</w:t>
            </w:r>
            <w:r>
              <w:rPr>
                <w:lang w:val="sr-CS"/>
              </w:rPr>
              <w:t xml:space="preserve"> (Faculty of </w:t>
            </w:r>
            <w:r>
              <w:rPr>
                <w:rFonts w:eastAsia="Cambria" w:cs="Times New Roman"/>
                <w:color w:val="auto"/>
                <w:sz w:val="20"/>
                <w:szCs w:val="20"/>
                <w:lang w:val="sr-CS" w:bidi="ar-SA"/>
              </w:rPr>
              <w:t>Biology</w:t>
            </w:r>
            <w:r>
              <w:rPr>
                <w:lang w:val="sr-CS"/>
              </w:rPr>
              <w:t>, University of Belgrade)</w:t>
            </w:r>
          </w:p>
        </w:tc>
      </w:tr>
      <w:tr>
        <w:trPr>
          <w:trHeight w:val="227" w:hRule="atLeast"/>
        </w:trPr>
        <w:tc>
          <w:tcPr>
            <w:tcW w:w="735" w:type="dxa"/>
            <w:gridSpan w:val="2"/>
            <w:tcBorders>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9</w:t>
            </w:r>
          </w:p>
        </w:tc>
        <w:tc>
          <w:tcPr>
            <w:tcW w:w="1958" w:type="dxa"/>
            <w:gridSpan w:val="4"/>
            <w:tcBorders>
              <w:left w:val="single" w:sz="4" w:space="0" w:color="000000"/>
              <w:bottom w:val="single" w:sz="4" w:space="0" w:color="000000"/>
              <w:right w:val="single" w:sz="4" w:space="0" w:color="000000"/>
            </w:tcBorders>
            <w:vAlign w:val="center"/>
          </w:tcPr>
          <w:p>
            <w:pPr>
              <w:pStyle w:val="Normal"/>
              <w:widowControl w:val="false"/>
              <w:snapToGrid w:val="false"/>
              <w:rPr>
                <w:b w:val="false"/>
                <w:b w:val="false"/>
                <w:bCs w:val="false"/>
                <w:lang w:val="sr-CS"/>
              </w:rPr>
            </w:pPr>
            <w:r>
              <w:rPr>
                <w:b w:val="false"/>
                <w:bCs w:val="false"/>
                <w:lang w:val="sr-CS"/>
              </w:rPr>
            </w:r>
          </w:p>
        </w:tc>
        <w:tc>
          <w:tcPr>
            <w:tcW w:w="5925" w:type="dxa"/>
            <w:gridSpan w:val="5"/>
            <w:tcBorders>
              <w:left w:val="single" w:sz="4" w:space="0" w:color="000000"/>
              <w:bottom w:val="single" w:sz="4" w:space="0" w:color="000000"/>
              <w:right w:val="single" w:sz="4" w:space="0" w:color="000000"/>
            </w:tcBorders>
            <w:vAlign w:val="center"/>
          </w:tcPr>
          <w:p>
            <w:pPr>
              <w:pStyle w:val="Normal"/>
              <w:snapToGrid w:val="false"/>
              <w:rPr>
                <w:lang w:val="sr-CS"/>
              </w:rPr>
            </w:pPr>
            <w:r>
              <w:rPr>
                <w:lang w:val="sr-CS"/>
              </w:rPr>
              <w:t>Introduction to Laboratory Animal Science (University of Banja Luka, RS, Bosnia and Herzegovina)</w:t>
            </w:r>
          </w:p>
        </w:tc>
      </w:tr>
      <w:tr>
        <w:trPr>
          <w:trHeight w:val="227" w:hRule="atLeast"/>
        </w:trPr>
        <w:tc>
          <w:tcPr>
            <w:tcW w:w="8618" w:type="dxa"/>
            <w:gridSpan w:val="11"/>
            <w:tcBorders>
              <w:top w:val="single" w:sz="4" w:space="0" w:color="000000"/>
              <w:left w:val="single" w:sz="4" w:space="0" w:color="000000"/>
              <w:bottom w:val="single" w:sz="4" w:space="0" w:color="000000"/>
              <w:right w:val="single" w:sz="4" w:space="0" w:color="000000"/>
            </w:tcBorders>
            <w:vAlign w:val="center"/>
          </w:tcPr>
          <w:p>
            <w:pPr>
              <w:pStyle w:val="Normal"/>
              <w:rPr/>
            </w:pPr>
            <w:r>
              <w:rPr>
                <w:lang w:val="sr-CS"/>
              </w:rPr>
              <w:t xml:space="preserve">The most significant </w:t>
            </w:r>
            <w:r>
              <w:rPr>
                <w:lang w:val="en-US"/>
              </w:rPr>
              <w:t>papers</w:t>
            </w:r>
            <w:r>
              <w:rPr>
                <w:lang w:val="sr-CS"/>
              </w:rPr>
              <w:t xml:space="preserve"> in accordance with the requirements of the additional conditions of the standard for a given field (minimum 10 not more than 20)</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1</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lang w:val="sr-CS"/>
              </w:rPr>
              <w:t xml:space="preserve">Đurašević S, Ružičić A, Lakić I, Tosti T, Đurović S, Glumac S, Pavlović S, Borković-Mitić S, Grigorov I, Stanković S, Jasnić N, Đorđević J, </w:t>
            </w:r>
            <w:r>
              <w:rPr>
                <w:b w:val="false"/>
                <w:bCs w:val="false"/>
                <w:u w:val="single"/>
                <w:lang w:val="sr-CS"/>
              </w:rPr>
              <w:t>Todorović Z</w:t>
            </w:r>
            <w:r>
              <w:rPr>
                <w:b w:val="false"/>
                <w:bCs w:val="false"/>
                <w:lang w:val="sr-CS"/>
              </w:rPr>
              <w:t>. The effects of a meldonium pre-treatment on the course of the faecal-induced sepsis in rats. Int J Mol Sci 2021; 22: 9698. doi: 10.3390/ijms22189698.</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rPr>
                <w:lang w:val="sr-CS"/>
              </w:rPr>
            </w:pPr>
            <w:r>
              <w:rPr>
                <w:lang w:val="sr-CS"/>
              </w:rPr>
              <w:t>IF 5.924</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2</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lang w:val="sr-CS"/>
              </w:rPr>
              <w:t xml:space="preserve">Zdravkovic M, Popadic V, Klasnja S, Pavlovic V, Aleksic A, Milenkovic M, Crnokrak B, Balint B, Todorovic-Balint M, Mrda D, Zdravkovic D, Toskovic B, Brankovic M, Markovic O, Bjekic-Macut J, Djuran P, Memon L, Stojanovic A, Brajkovic M, </w:t>
            </w:r>
            <w:r>
              <w:rPr>
                <w:b w:val="false"/>
                <w:bCs w:val="false"/>
                <w:u w:val="single"/>
                <w:lang w:val="sr-CS"/>
              </w:rPr>
              <w:t>Todorovic Z</w:t>
            </w:r>
            <w:r>
              <w:rPr>
                <w:b w:val="false"/>
                <w:bCs w:val="false"/>
                <w:lang w:val="sr-CS"/>
              </w:rPr>
              <w:t>, Hadzi-Djokic J, Jovanovic I, Nikolic D, Cvijanovic D, Milic N. Development and Validation of a Multivariable Predictive Model for Mortality of COVID-19 Patients Demanding High Oxygen Flow at Admission to ICU: AIDA Score. Oxid Med Cell Longev 2021; 2021:6654388. 10.1155/2021/6654388.</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6.543</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3</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lang w:val="sr-CS"/>
              </w:rPr>
              <w:t xml:space="preserve">Đurašević S, Pejić S, Grigorov I, Nikolić G, Mitić-Ćulafić D, Dragićević M, Đorđević J, Todorović Vukotić N, Đorđević N, Todorović A, Drakulić D, Veljković F, Pajović S, </w:t>
            </w:r>
            <w:r>
              <w:rPr>
                <w:b w:val="false"/>
                <w:bCs w:val="false"/>
                <w:u w:val="single"/>
                <w:lang w:val="sr-CS"/>
              </w:rPr>
              <w:t>Todorović Z</w:t>
            </w:r>
            <w:r>
              <w:rPr>
                <w:b w:val="false"/>
                <w:bCs w:val="false"/>
                <w:lang w:val="sr-CS"/>
              </w:rPr>
              <w:t>. Effects of C60 fullerene on thioacetamide-induced rat liver toxicity and gut microbiome changes. Antioxidants 2021; 10(6), 911; https://doi.org/10.3390/antiox10060911.</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6.313</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4</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lang w:val="sr-CS"/>
              </w:rPr>
              <w:t xml:space="preserve">Đukanović N, Obradović S, Zdravković M, Đurašević S, Stojković M, Tosti T, Jasnić N, Đorđević J, </w:t>
            </w:r>
            <w:r>
              <w:rPr>
                <w:b w:val="false"/>
                <w:bCs w:val="false"/>
                <w:u w:val="single"/>
                <w:lang w:val="sr-CS"/>
              </w:rPr>
              <w:t>Todorović Z</w:t>
            </w:r>
            <w:r>
              <w:rPr>
                <w:b w:val="false"/>
                <w:bCs w:val="false"/>
                <w:lang w:val="sr-CS"/>
              </w:rPr>
              <w:t>. Lipids and antiplatelet therapy: important considerations and future perspectives. Int J Mol Sci 2021; 22(6): 3180; https://doi.org/10.3390/ijms22063180.</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5.924</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5</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u w:val="single"/>
                <w:lang w:val="sr-CS"/>
              </w:rPr>
              <w:t>Todorović Z</w:t>
            </w:r>
            <w:r>
              <w:rPr>
                <w:b w:val="false"/>
                <w:bCs w:val="false"/>
                <w:lang w:val="sr-CS"/>
              </w:rPr>
              <w:t>, Đurašević S, Stojković M, Grigorov I, Pavlović S, Jasnić N, Tosti T, Bjekić Macut J, Thiemermann C, Đorđević J. Lipidomics provides new insight into pathogenesis and therapeutic targets of the ischemia-reperfusion injury. Int J Mol Sci 2021; 22: 2798. https://doi.org/10.3390/ijms22062798.</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5.924</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6</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lang w:val="sr-CS"/>
              </w:rPr>
              <w:t xml:space="preserve">Popadic V, Klasnja S, Milic N, Rajovic N, Aleksic A, Milenkovic M, Crnokrak B, Balin B, Todorovic-Balint B, Mrda D, Zdravkovic D, Toskovic B, Brankovic M, Markovic O, Bjekic-Macut J, Djuran P, Memon L, Brajkovic M, </w:t>
            </w:r>
            <w:r>
              <w:rPr>
                <w:b w:val="false"/>
                <w:bCs w:val="false"/>
                <w:u w:val="single"/>
                <w:lang w:val="sr-CS"/>
              </w:rPr>
              <w:t>Todorovic Z</w:t>
            </w:r>
            <w:r>
              <w:rPr>
                <w:b w:val="false"/>
                <w:bCs w:val="false"/>
                <w:lang w:val="sr-CS"/>
              </w:rPr>
              <w:t>, Hadzi-Djokic J, Jovanovic I, Nikolic D, Zdravkovic M. Predictors of mortality in critically ill COVID-19 patients demanding high oxygen flow: A thin line between inflammation, cytokine storm and coagulopathy. Oxid Med Cell Longev 2021; ID: 6648199, 1-9, doi: 10.1155/2020/6648199.</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6.543</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7</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Đurašević S, Stojković M, Sopta J, Pavlović S, Borković-Mitić S, Ivanović A, Jasnić N, Tosti T, Đurović S, Đorđević J, Todorović Z. The effects of meldonium on the acute ischemia/reperfusion liver injury in rats. Sci Rep 2021; 11(1): 1305. doi: 10.1038/s41598-020-80011-y.</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4.380</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8</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lang w:val="sr-CS"/>
              </w:rPr>
              <w:t xml:space="preserve">Đurašević S, Nikolić G, Todorović A, Drakulić D, Pejić S, Martinović S, Mitić-Ćulafić D, Milić D, Kop T, Jasnić N, Đorđević J, </w:t>
            </w:r>
            <w:r>
              <w:rPr>
                <w:b w:val="false"/>
                <w:bCs w:val="false"/>
                <w:u w:val="single"/>
                <w:lang w:val="sr-CS"/>
              </w:rPr>
              <w:t>Todorović Z</w:t>
            </w:r>
            <w:r>
              <w:rPr>
                <w:b w:val="false"/>
                <w:bCs w:val="false"/>
                <w:lang w:val="sr-CS"/>
              </w:rPr>
              <w:t>. Effects of Fullerene C60 Supplementation on Gut Microbiota and Glucose and Lipid Homeostasis in Rat. Food Chem Toxicol 2020; 140:111302. doi: 10.1016/j.fct.2020.111302.</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6.025</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9</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lang w:val="sr-CS"/>
              </w:rPr>
              <w:t xml:space="preserve">Djurašević S, Nikolić G, Zaletel I, Grigorov I, Memon L, Mitić-Ćulafić D, Vujović P, Đorđević J, </w:t>
            </w:r>
            <w:r>
              <w:rPr>
                <w:b w:val="false"/>
                <w:bCs w:val="false"/>
                <w:u w:val="single"/>
                <w:lang w:val="sr-CS"/>
              </w:rPr>
              <w:t>Todorović Z</w:t>
            </w:r>
            <w:r>
              <w:rPr>
                <w:b w:val="false"/>
                <w:bCs w:val="false"/>
                <w:lang w:val="sr-CS"/>
              </w:rPr>
              <w:t>. Distinct effects of virgin coconut oil supplementation on the glucose and lipid homeostasis in non-diabetic and alloxan-induced diabetic rats. J Funct Foods 2020; 64: 103601; doi: 10.1016/j.jff.2019.103601</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4.451</w:t>
            </w:r>
          </w:p>
        </w:tc>
      </w:tr>
      <w:tr>
        <w:trPr>
          <w:trHeight w:val="227" w:hRule="atLeast"/>
        </w:trPr>
        <w:tc>
          <w:tcPr>
            <w:tcW w:w="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b w:val="false"/>
                <w:b w:val="false"/>
                <w:bCs w:val="false"/>
                <w:lang w:val="sr-CS"/>
              </w:rPr>
            </w:pPr>
            <w:r>
              <w:rPr>
                <w:b w:val="false"/>
                <w:bCs w:val="false"/>
                <w:lang w:val="sr-CS"/>
              </w:rPr>
              <w:t>10</w:t>
            </w:r>
          </w:p>
        </w:tc>
        <w:tc>
          <w:tcPr>
            <w:tcW w:w="7080" w:type="dxa"/>
            <w:gridSpan w:val="9"/>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before="0" w:after="60"/>
              <w:rPr>
                <w:lang w:val="sr-CS"/>
              </w:rPr>
            </w:pPr>
            <w:r>
              <w:rPr>
                <w:b w:val="false"/>
                <w:bCs w:val="false"/>
                <w:lang w:val="sr-CS"/>
              </w:rPr>
              <w:t xml:space="preserve">Đurašević S, Stojković M, Bogdanović L, Pavlović S, Borković-Mitić S, Grigorov I, Bogojević D, Jasnić N, Tosti T, Đurović S, Đorđević J, </w:t>
            </w:r>
            <w:r>
              <w:rPr>
                <w:b w:val="false"/>
                <w:bCs w:val="false"/>
                <w:u w:val="single"/>
                <w:lang w:val="sr-CS"/>
              </w:rPr>
              <w:t>Todorović Z</w:t>
            </w:r>
            <w:r>
              <w:rPr>
                <w:b w:val="false"/>
                <w:bCs w:val="false"/>
                <w:lang w:val="sr-CS"/>
              </w:rPr>
              <w:t>. The effects of meldonium on the renal acute ischemia/reperfusion injury in rats. Int J Mol Sci 2019; 20(22). pii: E5747. doi: 10.3390/ijms20225747.</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lang w:val="sr-CS"/>
              </w:rPr>
            </w:pPr>
            <w:r>
              <w:rPr>
                <w:lang w:val="sr-CS"/>
              </w:rPr>
              <w:t>IF 4.556</w:t>
            </w:r>
          </w:p>
        </w:tc>
      </w:tr>
      <w:tr>
        <w:trPr>
          <w:trHeight w:val="227" w:hRule="atLeast"/>
        </w:trPr>
        <w:tc>
          <w:tcPr>
            <w:tcW w:w="8618" w:type="dxa"/>
            <w:gridSpan w:val="11"/>
            <w:tcBorders>
              <w:top w:val="single" w:sz="4" w:space="0" w:color="000000"/>
              <w:left w:val="single" w:sz="4" w:space="0" w:color="000000"/>
              <w:bottom w:val="single" w:sz="4" w:space="0" w:color="000000"/>
              <w:right w:val="single" w:sz="4" w:space="0" w:color="000000"/>
            </w:tcBorders>
            <w:vAlign w:val="center"/>
          </w:tcPr>
          <w:p>
            <w:pPr>
              <w:pStyle w:val="Normal"/>
              <w:rPr>
                <w:b/>
                <w:b/>
                <w:lang w:val="en-US"/>
              </w:rPr>
            </w:pPr>
            <w:r>
              <w:rPr>
                <w:b/>
                <w:lang w:val="en-US"/>
              </w:rPr>
              <w:t>Cumulative data of teacher’s scientific activity</w:t>
            </w:r>
          </w:p>
        </w:tc>
      </w:tr>
      <w:tr>
        <w:trPr>
          <w:trHeight w:val="227" w:hRule="atLeast"/>
        </w:trPr>
        <w:tc>
          <w:tcPr>
            <w:tcW w:w="2438"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lang w:val="sr-CS"/>
              </w:rPr>
            </w:pPr>
            <w:r>
              <w:rPr>
                <w:lang w:val="sr-CS"/>
              </w:rPr>
              <w:t>Total number of citations, without autocitations</w:t>
            </w:r>
          </w:p>
        </w:tc>
        <w:tc>
          <w:tcPr>
            <w:tcW w:w="6180" w:type="dxa"/>
            <w:gridSpan w:val="7"/>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b w:val="false"/>
                <w:b w:val="false"/>
                <w:bCs w:val="false"/>
                <w:lang w:val="sr-CS"/>
              </w:rPr>
            </w:pPr>
            <w:r>
              <w:rPr>
                <w:b w:val="false"/>
                <w:bCs w:val="false"/>
                <w:lang w:val="sr-CS"/>
              </w:rPr>
              <w:t>627</w:t>
            </w:r>
          </w:p>
        </w:tc>
      </w:tr>
      <w:tr>
        <w:trPr>
          <w:trHeight w:val="227" w:hRule="atLeast"/>
        </w:trPr>
        <w:tc>
          <w:tcPr>
            <w:tcW w:w="2438"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lang w:val="sr-CS"/>
              </w:rPr>
            </w:pPr>
            <w:r>
              <w:rPr>
                <w:lang w:val="sr-CS"/>
              </w:rPr>
              <w:t>Total number of papers from the SCI (or SSCI) list</w:t>
            </w:r>
          </w:p>
        </w:tc>
        <w:tc>
          <w:tcPr>
            <w:tcW w:w="6180" w:type="dxa"/>
            <w:gridSpan w:val="7"/>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b w:val="false"/>
                <w:b w:val="false"/>
                <w:bCs w:val="false"/>
                <w:lang w:val="sr-CS"/>
              </w:rPr>
            </w:pPr>
            <w:r>
              <w:rPr>
                <w:b w:val="false"/>
                <w:bCs w:val="false"/>
                <w:lang w:val="sr-CS"/>
              </w:rPr>
              <w:t>64</w:t>
            </w:r>
          </w:p>
        </w:tc>
      </w:tr>
      <w:tr>
        <w:trPr>
          <w:trHeight w:val="227" w:hRule="atLeast"/>
        </w:trPr>
        <w:tc>
          <w:tcPr>
            <w:tcW w:w="2438"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lang w:val="sr-CS"/>
              </w:rPr>
            </w:pPr>
            <w:r>
              <w:rPr>
                <w:lang w:val="sr-CS"/>
              </w:rPr>
              <w:t>Current participation in projects</w:t>
            </w:r>
          </w:p>
        </w:tc>
        <w:tc>
          <w:tcPr>
            <w:tcW w:w="2835"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u w:val="single"/>
                <w:lang w:val="en-US"/>
              </w:rPr>
            </w:pPr>
            <w:r>
              <w:rPr>
                <w:u w:val="single"/>
                <w:lang w:val="en-US"/>
              </w:rPr>
              <w:t>Domestic</w:t>
            </w:r>
            <w:r>
              <w:rPr>
                <w:b w:val="false"/>
                <w:bCs w:val="false"/>
                <w:u w:val="single"/>
                <w:lang w:val="en-US"/>
              </w:rPr>
              <w:t>: -</w:t>
            </w:r>
          </w:p>
        </w:tc>
        <w:tc>
          <w:tcPr>
            <w:tcW w:w="3345"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before="0" w:after="60"/>
              <w:rPr>
                <w:u w:val="single"/>
                <w:lang w:val="en-US"/>
              </w:rPr>
            </w:pPr>
            <w:r>
              <w:rPr>
                <w:u w:val="single"/>
                <w:lang w:val="en-US"/>
              </w:rPr>
              <w:t>International</w:t>
            </w:r>
            <w:r>
              <w:rPr>
                <w:b w:val="false"/>
                <w:bCs w:val="false"/>
                <w:u w:val="single"/>
                <w:lang w:val="en-US"/>
              </w:rPr>
              <w:t>: 2</w:t>
            </w:r>
          </w:p>
          <w:p>
            <w:pPr>
              <w:pStyle w:val="Normal"/>
              <w:spacing w:before="0" w:after="60"/>
              <w:rPr>
                <w:b w:val="false"/>
                <w:b w:val="false"/>
                <w:bCs w:val="false"/>
                <w:lang w:val="en-US"/>
              </w:rPr>
            </w:pPr>
            <w:r>
              <w:rPr>
                <w:b w:val="false"/>
                <w:bCs w:val="false"/>
                <w:lang w:val="en-US"/>
              </w:rPr>
              <w:t>NIH Fogarty Project 2 R25 TW008171-06A1</w:t>
            </w:r>
          </w:p>
          <w:p>
            <w:pPr>
              <w:pStyle w:val="Normal"/>
              <w:spacing w:before="0" w:after="60"/>
              <w:rPr>
                <w:b w:val="false"/>
                <w:b w:val="false"/>
                <w:bCs w:val="false"/>
                <w:lang w:val="en-US"/>
              </w:rPr>
            </w:pPr>
            <w:r>
              <w:rPr>
                <w:b w:val="false"/>
                <w:bCs w:val="false"/>
                <w:lang w:val="en-US"/>
              </w:rPr>
              <w:t>COST CA19105</w:t>
            </w:r>
          </w:p>
        </w:tc>
      </w:tr>
      <w:tr>
        <w:trPr>
          <w:trHeight w:val="227" w:hRule="atLeast"/>
        </w:trPr>
        <w:tc>
          <w:tcPr>
            <w:tcW w:w="2438" w:type="dxa"/>
            <w:gridSpan w:val="4"/>
            <w:tcBorders>
              <w:top w:val="single" w:sz="4" w:space="0" w:color="000000"/>
              <w:left w:val="single" w:sz="4" w:space="0" w:color="000000"/>
              <w:bottom w:val="single" w:sz="4" w:space="0" w:color="000000"/>
              <w:right w:val="single" w:sz="4" w:space="0" w:color="000000"/>
            </w:tcBorders>
            <w:vAlign w:val="center"/>
          </w:tcPr>
          <w:p>
            <w:pPr>
              <w:pStyle w:val="Normal"/>
              <w:rPr>
                <w:lang w:val="en-US"/>
              </w:rPr>
            </w:pPr>
            <w:r>
              <w:rPr>
                <w:lang w:val="en-US"/>
              </w:rPr>
              <w:t>Trainings</w:t>
            </w:r>
          </w:p>
        </w:tc>
        <w:tc>
          <w:tcPr>
            <w:tcW w:w="6180"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1"/>
              </w:numPr>
              <w:tabs>
                <w:tab w:val="clear" w:pos="720"/>
                <w:tab w:val="left" w:pos="286" w:leader="none"/>
              </w:tabs>
              <w:bidi w:val="0"/>
              <w:snapToGrid w:val="false"/>
              <w:spacing w:before="0" w:after="60"/>
              <w:ind w:left="113" w:right="0" w:hanging="0"/>
              <w:rPr/>
            </w:pPr>
            <w:r>
              <w:rPr>
                <w:b w:val="false"/>
                <w:bCs w:val="false"/>
                <w:lang w:val="sr-CS"/>
              </w:rPr>
              <w:t xml:space="preserve">William Harvey Research Institute, London, UK (1999-2001) - Visiting </w:t>
            </w:r>
            <w:r>
              <w:rPr>
                <w:rFonts w:eastAsia="Cambria" w:cs="Times New Roman"/>
                <w:b w:val="false"/>
                <w:bCs w:val="false"/>
                <w:color w:val="auto"/>
                <w:sz w:val="20"/>
                <w:szCs w:val="20"/>
                <w:lang w:val="sr-CS" w:bidi="ar-SA"/>
              </w:rPr>
              <w:t>S</w:t>
            </w:r>
            <w:r>
              <w:rPr>
                <w:b w:val="false"/>
                <w:bCs w:val="false"/>
                <w:lang w:val="sr-CS"/>
              </w:rPr>
              <w:t>cientist</w:t>
            </w:r>
          </w:p>
          <w:p>
            <w:pPr>
              <w:pStyle w:val="Normal"/>
              <w:widowControl w:val="false"/>
              <w:numPr>
                <w:ilvl w:val="0"/>
                <w:numId w:val="1"/>
              </w:numPr>
              <w:tabs>
                <w:tab w:val="clear" w:pos="720"/>
                <w:tab w:val="left" w:pos="286" w:leader="none"/>
              </w:tabs>
              <w:bidi w:val="0"/>
              <w:snapToGrid w:val="false"/>
              <w:spacing w:before="0" w:after="60"/>
              <w:ind w:left="113" w:right="0" w:hanging="0"/>
              <w:rPr/>
            </w:pPr>
            <w:r>
              <w:rPr>
                <w:b w:val="false"/>
                <w:bCs w:val="false"/>
                <w:lang w:val="sr-CS"/>
              </w:rPr>
              <w:t xml:space="preserve">Dept. of Hematology, Oncology and Radiation Physics, Skåne University Hospital, Lund, Sweden (Oct 2016) - Visiting </w:t>
            </w:r>
            <w:r>
              <w:rPr>
                <w:rFonts w:eastAsia="Cambria" w:cs="Times New Roman"/>
                <w:b w:val="false"/>
                <w:bCs w:val="false"/>
                <w:color w:val="auto"/>
                <w:sz w:val="20"/>
                <w:szCs w:val="20"/>
                <w:lang w:val="sr-CS" w:bidi="ar-SA"/>
              </w:rPr>
              <w:t>S</w:t>
            </w:r>
            <w:r>
              <w:rPr>
                <w:b w:val="false"/>
                <w:bCs w:val="false"/>
                <w:lang w:val="sr-CS"/>
              </w:rPr>
              <w:t>cientist</w:t>
            </w:r>
          </w:p>
          <w:p>
            <w:pPr>
              <w:pStyle w:val="Normal"/>
              <w:widowControl w:val="false"/>
              <w:numPr>
                <w:ilvl w:val="0"/>
                <w:numId w:val="1"/>
              </w:numPr>
              <w:tabs>
                <w:tab w:val="clear" w:pos="720"/>
                <w:tab w:val="left" w:pos="286" w:leader="none"/>
              </w:tabs>
              <w:bidi w:val="0"/>
              <w:snapToGrid w:val="false"/>
              <w:spacing w:before="0" w:after="60"/>
              <w:ind w:left="113" w:right="0" w:hanging="0"/>
              <w:rPr>
                <w:b w:val="false"/>
                <w:b w:val="false"/>
                <w:bCs w:val="false"/>
                <w:lang w:val="sr-CS"/>
              </w:rPr>
            </w:pPr>
            <w:r>
              <w:rPr>
                <w:b w:val="false"/>
                <w:bCs w:val="false"/>
                <w:lang w:val="sr-CS"/>
              </w:rPr>
              <w:t>Icahn School of Medicine at Mount Sinai, NYC (2017) - Visiting Professor</w:t>
            </w:r>
          </w:p>
        </w:tc>
      </w:tr>
      <w:tr>
        <w:trPr>
          <w:trHeight w:val="227" w:hRule="atLeast"/>
        </w:trPr>
        <w:tc>
          <w:tcPr>
            <w:tcW w:w="2438" w:type="dxa"/>
            <w:gridSpan w:val="4"/>
            <w:tcBorders>
              <w:top w:val="single" w:sz="4" w:space="0" w:color="000000"/>
              <w:left w:val="single" w:sz="4" w:space="0" w:color="000000"/>
              <w:bottom w:val="single" w:sz="4" w:space="0" w:color="000000"/>
            </w:tcBorders>
            <w:vAlign w:val="center"/>
          </w:tcPr>
          <w:p>
            <w:pPr>
              <w:pStyle w:val="Normal"/>
              <w:rPr>
                <w:lang w:val="en-US"/>
              </w:rPr>
            </w:pPr>
            <w:r>
              <w:rPr>
                <w:lang w:val="en-US"/>
              </w:rPr>
              <w:t>Other relevant data</w:t>
            </w:r>
          </w:p>
        </w:tc>
        <w:tc>
          <w:tcPr>
            <w:tcW w:w="6180" w:type="dxa"/>
            <w:gridSpan w:val="7"/>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60"/>
              <w:rPr>
                <w:b w:val="false"/>
                <w:b w:val="false"/>
                <w:bCs w:val="false"/>
                <w:lang w:val="sr-CS"/>
              </w:rPr>
            </w:pPr>
            <w:r>
              <w:rPr>
                <w:b w:val="false"/>
                <w:bCs w:val="false"/>
                <w:lang w:val="sr-CS"/>
              </w:rPr>
              <w:t>Clinical Pharmacology Consultant in Clinical Center of Serbia (2011) and University Medical Center "Bežanijska kosa", Belgrade</w:t>
            </w:r>
          </w:p>
          <w:p>
            <w:pPr>
              <w:pStyle w:val="Normal"/>
              <w:snapToGrid w:val="false"/>
              <w:spacing w:before="0" w:after="60"/>
              <w:rPr>
                <w:b w:val="false"/>
                <w:b w:val="false"/>
                <w:bCs w:val="false"/>
                <w:lang w:val="sr-CS"/>
              </w:rPr>
            </w:pPr>
            <w:r>
              <w:rPr>
                <w:b w:val="false"/>
                <w:bCs w:val="false"/>
                <w:lang w:val="sr-CS"/>
              </w:rPr>
              <w:t>Council of Europe Expert (professional ethics and higher education reform)</w:t>
            </w:r>
          </w:p>
          <w:p>
            <w:pPr>
              <w:pStyle w:val="Normal"/>
              <w:snapToGrid w:val="false"/>
              <w:spacing w:before="0" w:after="60"/>
              <w:rPr>
                <w:b w:val="false"/>
                <w:b w:val="false"/>
                <w:bCs w:val="false"/>
                <w:lang w:val="sr-CS"/>
              </w:rPr>
            </w:pPr>
            <w:r>
              <w:rPr>
                <w:b w:val="false"/>
                <w:bCs w:val="false"/>
                <w:lang w:val="sr-CS"/>
              </w:rPr>
              <w:t>Faculty:</w:t>
            </w:r>
          </w:p>
          <w:p>
            <w:pPr>
              <w:pStyle w:val="Normal"/>
              <w:widowControl w:val="false"/>
              <w:numPr>
                <w:ilvl w:val="0"/>
                <w:numId w:val="2"/>
              </w:numPr>
              <w:tabs>
                <w:tab w:val="clear" w:pos="720"/>
                <w:tab w:val="left" w:pos="341" w:leader="none"/>
              </w:tabs>
              <w:autoSpaceDE w:val="false"/>
              <w:bidi w:val="0"/>
              <w:snapToGrid w:val="false"/>
              <w:spacing w:before="0" w:after="60"/>
              <w:ind w:left="170" w:right="0" w:hanging="170"/>
              <w:rPr/>
            </w:pPr>
            <w:r>
              <w:rPr>
                <w:b w:val="false"/>
                <w:bCs w:val="false"/>
                <w:lang w:val="sr-CS"/>
              </w:rPr>
              <w:t xml:space="preserve">Joint Master Program in Research Ethics </w:t>
            </w:r>
            <w:r>
              <w:rPr>
                <w:rFonts w:eastAsia="Cambria" w:cs="Times New Roman"/>
                <w:b w:val="false"/>
                <w:bCs w:val="false"/>
                <w:color w:val="auto"/>
                <w:sz w:val="20"/>
                <w:szCs w:val="20"/>
                <w:lang w:val="sr-CS" w:bidi="ar-SA"/>
              </w:rPr>
              <w:t xml:space="preserve">of FMUB and the </w:t>
            </w:r>
            <w:r>
              <w:rPr>
                <w:rFonts w:eastAsia="Cambria" w:cs="Times New Roman"/>
                <w:b w:val="false"/>
                <w:bCs w:val="false"/>
                <w:color w:val="auto"/>
                <w:sz w:val="20"/>
                <w:szCs w:val="20"/>
                <w:lang w:val="sr-CS" w:bidi="ar-SA"/>
              </w:rPr>
              <w:t xml:space="preserve">Icahn School of Medicine at Mount Sinai, </w:t>
            </w:r>
            <w:r>
              <w:rPr>
                <w:rFonts w:eastAsia="Myriad Pro" w:cs="Times New Roman"/>
                <w:b w:val="false"/>
                <w:bCs w:val="false"/>
                <w:color w:val="000000"/>
                <w:sz w:val="20"/>
                <w:szCs w:val="20"/>
                <w:lang w:val="sr-CS" w:bidi="ar-SA"/>
              </w:rPr>
              <w:t>New York, USA</w:t>
            </w:r>
          </w:p>
          <w:p>
            <w:pPr>
              <w:pStyle w:val="Normal"/>
              <w:widowControl w:val="false"/>
              <w:numPr>
                <w:ilvl w:val="0"/>
                <w:numId w:val="2"/>
              </w:numPr>
              <w:tabs>
                <w:tab w:val="clear" w:pos="720"/>
                <w:tab w:val="left" w:pos="341" w:leader="none"/>
              </w:tabs>
              <w:autoSpaceDE w:val="false"/>
              <w:bidi w:val="0"/>
              <w:snapToGrid w:val="false"/>
              <w:spacing w:before="0" w:after="60"/>
              <w:ind w:left="170" w:right="0" w:hanging="170"/>
              <w:rPr/>
            </w:pPr>
            <w:r>
              <w:rPr>
                <w:rFonts w:eastAsia="Myriad Pro" w:cs="Times New Roman"/>
                <w:b w:val="false"/>
                <w:bCs w:val="false"/>
                <w:color w:val="000000"/>
                <w:sz w:val="20"/>
                <w:szCs w:val="20"/>
                <w:lang w:val="sr-CS" w:bidi="ar-SA"/>
              </w:rPr>
              <w:t>CERTAIN education program of the Mayo Clinic, Rochester, MN, USA</w:t>
            </w:r>
            <w:r>
              <w:rPr>
                <w:b w:val="false"/>
                <w:bCs w:val="false"/>
                <w:lang w:val="sr-CS"/>
              </w:rPr>
              <w:t xml:space="preserve"> </w:t>
            </w:r>
          </w:p>
        </w:tc>
      </w:tr>
      <w:tr>
        <w:trPr>
          <w:trHeight w:val="227" w:hRule="atLeast"/>
        </w:trPr>
        <w:tc>
          <w:tcPr>
            <w:tcW w:w="8618" w:type="dxa"/>
            <w:gridSpan w:val="11"/>
            <w:tcBorders>
              <w:top w:val="single" w:sz="4" w:space="0" w:color="000000"/>
              <w:left w:val="single" w:sz="4" w:space="0" w:color="000000"/>
              <w:bottom w:val="single" w:sz="4" w:space="0" w:color="000000"/>
              <w:right w:val="single" w:sz="4" w:space="0" w:color="000000"/>
            </w:tcBorders>
            <w:vAlign w:val="center"/>
          </w:tcPr>
          <w:p>
            <w:pPr>
              <w:pStyle w:val="Normal"/>
              <w:rPr/>
            </w:pPr>
            <w:r>
              <w:rPr>
                <w:lang w:val="sr-CS"/>
              </w:rPr>
              <w:t xml:space="preserve">The maximum length must not exceed </w:t>
            </w:r>
            <w:r>
              <w:rPr>
                <w:lang w:val="en-US"/>
              </w:rPr>
              <w:t>1</w:t>
            </w:r>
            <w:r>
              <w:rPr>
                <w:lang w:val="sr-CS"/>
              </w:rPr>
              <w:t xml:space="preserve"> A4 page</w:t>
            </w:r>
          </w:p>
        </w:tc>
      </w:tr>
    </w:tbl>
    <w:p>
      <w:pPr>
        <w:pStyle w:val="Normal"/>
        <w:rPr/>
      </w:pPr>
      <w:r>
        <w:rPr/>
      </w:r>
    </w:p>
    <w:sectPr>
      <w:headerReference w:type="default" r:id="rId2"/>
      <w:type w:val="nextPage"/>
      <w:pgSz w:w="12240" w:h="15840"/>
      <w:pgMar w:left="1440" w:right="1440" w:gutter="0" w:header="72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Symbol">
    <w:charset w:val="02"/>
    <w:family w:val="auto"/>
    <w:pitch w:val="variable"/>
  </w:font>
  <w:font w:name="OpenSymbol">
    <w:altName w:val="Arial Unicode MS"/>
    <w:charset w:val="01"/>
    <w:family w:val="auto"/>
    <w:pitch w:val="variable"/>
  </w:font>
  <w:font w:name="Symbol">
    <w:charset w:val="02"/>
    <w:family w:val="auto"/>
    <w:pitch w:val="default"/>
  </w:font>
  <w:font w:name="OpenSymbol">
    <w:altName w:val="Arial Unicode MS"/>
    <w:charset w:val="01"/>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0" w:after="60"/>
      <w:jc w:val="center"/>
      <w:rPr>
        <w:b/>
        <w:b/>
        <w:iCs/>
        <w:sz w:val="22"/>
        <w:szCs w:val="22"/>
        <w:lang w:val="en-US"/>
      </w:rPr>
    </w:pPr>
    <w:r>
      <w:rPr>
        <w:b/>
        <w:iCs/>
        <w:sz w:val="22"/>
        <w:szCs w:val="22"/>
        <w:lang w:val="en-US"/>
      </w:rPr>
      <w:t>Table 9.6 Teacher’s Competence</w:t>
    </w:r>
  </w:p>
  <w:p>
    <w:pPr>
      <w:pStyle w:val="Header"/>
      <w:rPr>
        <w:iCs/>
        <w:sz w:val="22"/>
        <w:szCs w:val="22"/>
        <w:lang w:val="en-US"/>
      </w:rPr>
    </w:pPr>
    <w:r>
      <w:rPr>
        <w:iCs/>
        <w:sz w:val="22"/>
        <w:szCs w:val="22"/>
        <w:lang w:val="en-US"/>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00"/>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irmala UI"/>
        <w:sz w:val="24"/>
        <w:szCs w:val="24"/>
        <w:lang w:val="sr-Latn-RS" w:eastAsia="zh-CN" w:bidi="hi-IN"/>
      </w:rPr>
    </w:rPrDefault>
    <w:pPrDefault>
      <w:pPr>
        <w:suppressAutoHyphens w:val="true"/>
      </w:pPr>
    </w:pPrDefault>
  </w:docDefaults>
  <w:style w:type="paragraph" w:styleId="Normal">
    <w:name w:val="Normal"/>
    <w:qFormat/>
    <w:pPr>
      <w:widowControl w:val="false"/>
      <w:kinsoku w:val="true"/>
      <w:overflowPunct w:val="true"/>
      <w:autoSpaceDE w:val="false"/>
      <w:bidi w:val="0"/>
    </w:pPr>
    <w:rPr>
      <w:rFonts w:ascii="Times New Roman" w:hAnsi="Times New Roman" w:eastAsia="Cambria" w:cs="Times New Roman"/>
      <w:color w:val="auto"/>
      <w:sz w:val="20"/>
      <w:szCs w:val="20"/>
      <w:lang w:val="sr-Latn-CS" w:bidi="ar-SA" w:eastAsia="zh-CN"/>
    </w:rPr>
  </w:style>
  <w:style w:type="character" w:styleId="DefaultParagraphFont">
    <w:name w:val="Default Paragraph Font"/>
    <w:qFormat/>
    <w:rPr/>
  </w:style>
  <w:style w:type="character" w:styleId="HeaderChar">
    <w:name w:val="Header Char"/>
    <w:basedOn w:val="DefaultParagraphFont"/>
    <w:qFormat/>
    <w:rPr>
      <w:rFonts w:ascii="Times New Roman" w:hAnsi="Times New Roman" w:eastAsia="Cambria" w:cs="Times New Roman"/>
      <w:sz w:val="20"/>
      <w:szCs w:val="20"/>
      <w:lang w:val="sr-Latn-CS"/>
    </w:rPr>
  </w:style>
  <w:style w:type="character" w:styleId="FooterChar">
    <w:name w:val="Footer Char"/>
    <w:basedOn w:val="DefaultParagraphFont"/>
    <w:qFormat/>
    <w:rPr>
      <w:rFonts w:ascii="Times New Roman" w:hAnsi="Times New Roman" w:eastAsia="Cambria" w:cs="Times New Roman"/>
      <w:sz w:val="20"/>
      <w:szCs w:val="20"/>
      <w:lang w:val="sr-Latn-CS"/>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Tahoma" w:cs="Nirmala U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irmala UI"/>
    </w:rPr>
  </w:style>
  <w:style w:type="paragraph" w:styleId="Caption">
    <w:name w:val="Caption"/>
    <w:basedOn w:val="Normal"/>
    <w:qFormat/>
    <w:pPr>
      <w:suppressLineNumbers/>
      <w:spacing w:before="120" w:after="120"/>
    </w:pPr>
    <w:rPr>
      <w:rFonts w:cs="Nirmala UI"/>
      <w:i/>
      <w:iCs/>
      <w:sz w:val="24"/>
      <w:szCs w:val="24"/>
    </w:rPr>
  </w:style>
  <w:style w:type="paragraph" w:styleId="Index">
    <w:name w:val="Index"/>
    <w:basedOn w:val="Normal"/>
    <w:qFormat/>
    <w:pPr>
      <w:suppressLineNumbers/>
    </w:pPr>
    <w:rPr>
      <w:rFonts w:cs="Nirmala UI"/>
      <w:lang w:val="zxx" w:eastAsia="zxx" w:bidi="zxx"/>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680" w:leader="none"/>
        <w:tab w:val="right" w:pos="9360" w:leader="none"/>
      </w:tabs>
    </w:pPr>
    <w:rPr/>
  </w:style>
  <w:style w:type="paragraph" w:styleId="Footer">
    <w:name w:val="Footer"/>
    <w:basedOn w:val="Normal"/>
    <w:pPr>
      <w:tabs>
        <w:tab w:val="clear" w:pos="720"/>
        <w:tab w:val="center" w:pos="4680" w:leader="none"/>
        <w:tab w:val="right" w:pos="9360"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33</TotalTime>
  <Application>LibreOffice/7.2.2.2$Linux_X86_64 LibreOffice_project/20$Build-2</Application>
  <AppVersion>15.0000</AppVersion>
  <Pages>3</Pages>
  <Words>890</Words>
  <Characters>5244</Characters>
  <CharactersWithSpaces>6018</CharactersWithSpaces>
  <Paragraphs>120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2021-04-16T09:40:00Z</dcterms:created>
  <dc:creator>Korisnik</dc:creator>
  <dc:description/>
  <dc:language>sr-Latn-RS</dc:language>
  <cp:lastModifiedBy/>
  <dcterms:modified xsi:type="dcterms:W3CDTF">2021-11-11T01:12:19Z</dcterms:modified>
  <cp:revision>6</cp:revision>
  <dc:subject/>
  <dc:title/>
</cp:coreProperties>
</file>